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F023A" w14:textId="1CC02EE1" w:rsidR="00F71945" w:rsidRPr="00AA553F" w:rsidRDefault="00FB2DC1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Ақмола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AA553F" w:rsidRPr="00AA553F">
        <w:rPr>
          <w:rFonts w:ascii="Times New Roman" w:hAnsi="Times New Roman" w:cs="Times New Roman"/>
          <w:b/>
          <w:sz w:val="28"/>
          <w:szCs w:val="28"/>
        </w:rPr>
        <w:t xml:space="preserve">ілім </w:t>
      </w:r>
      <w:proofErr w:type="spellStart"/>
      <w:r w:rsidR="00AA553F" w:rsidRPr="00AA553F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  <w:r w:rsidR="00AA553F" w:rsidRPr="00AA55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553F" w:rsidRPr="00AA553F">
        <w:rPr>
          <w:rFonts w:ascii="Times New Roman" w:hAnsi="Times New Roman" w:cs="Times New Roman"/>
          <w:b/>
          <w:sz w:val="28"/>
          <w:szCs w:val="28"/>
        </w:rPr>
        <w:t>Шортанд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білім бөлімі</w:t>
      </w:r>
      <w:r w:rsidR="00AA553F" w:rsidRPr="00AA553F">
        <w:rPr>
          <w:rFonts w:ascii="Times New Roman" w:hAnsi="Times New Roman" w:cs="Times New Roman"/>
          <w:b/>
          <w:sz w:val="28"/>
          <w:szCs w:val="28"/>
        </w:rPr>
        <w:t xml:space="preserve"> Белое Озеро </w:t>
      </w:r>
      <w:proofErr w:type="spellStart"/>
      <w:r w:rsidR="00AA553F" w:rsidRPr="00AA553F">
        <w:rPr>
          <w:rFonts w:ascii="Times New Roman" w:hAnsi="Times New Roman" w:cs="Times New Roman"/>
          <w:b/>
          <w:sz w:val="28"/>
          <w:szCs w:val="28"/>
        </w:rPr>
        <w:t>ауылының</w:t>
      </w:r>
      <w:proofErr w:type="spellEnd"/>
      <w:r w:rsidR="00AA553F" w:rsidRPr="00AA55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553F" w:rsidRPr="00AA553F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="00AA553F" w:rsidRPr="00AA553F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="00AA553F" w:rsidRPr="00AA553F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="00AA553F" w:rsidRPr="00AA553F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коммуналдык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мемлекеттіқ  мекемесі</w:t>
      </w:r>
      <w:proofErr w:type="gramEnd"/>
      <w:r w:rsidR="000A2F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7F207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8F446B" w:rsidRPr="00AA55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F11F4" w:rsidRPr="00AA553F">
        <w:rPr>
          <w:rFonts w:ascii="Times New Roman" w:hAnsi="Times New Roman" w:cs="Times New Roman"/>
          <w:b/>
          <w:sz w:val="28"/>
          <w:szCs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33C55266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3F6D90A" w14:textId="27DE9370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0A2F70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7F207E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A50EBB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1FF12123" w14:textId="77777777" w:rsidR="00DF11F4" w:rsidRDefault="00DF11F4" w:rsidP="00AA553F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ab/>
      </w:r>
      <w:r w:rsidRPr="00AA553F">
        <w:rPr>
          <w:rFonts w:ascii="Times New Roman" w:hAnsi="Times New Roman" w:cs="Times New Roman"/>
          <w:sz w:val="28"/>
          <w:szCs w:val="28"/>
          <w:lang w:val="kk-KZ"/>
        </w:rPr>
        <w:t>2. Көпшіл</w:t>
      </w:r>
      <w:r w:rsidR="0004144E" w:rsidRPr="00AA553F">
        <w:rPr>
          <w:rFonts w:ascii="Times New Roman" w:hAnsi="Times New Roman" w:cs="Times New Roman"/>
          <w:sz w:val="28"/>
          <w:szCs w:val="28"/>
          <w:lang w:val="kk-KZ"/>
        </w:rPr>
        <w:t>ік талқылауды өткізу әдісі:</w:t>
      </w:r>
      <w:r w:rsidR="00AA553F" w:rsidRPr="00AA55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2DC1" w:rsidRPr="00FB2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"Ақмола облысы білім басқармасының Шортанды ауданы бойынша білім бөлімі Белое Озеро ауылының негізгі орта мектебі" коммуналдык </w:t>
      </w:r>
      <w:r w:rsidR="00FB2DC1">
        <w:rPr>
          <w:rFonts w:ascii="Times New Roman" w:hAnsi="Times New Roman" w:cs="Times New Roman"/>
          <w:b/>
          <w:sz w:val="28"/>
          <w:szCs w:val="28"/>
          <w:lang w:val="kk-KZ"/>
        </w:rPr>
        <w:t>мемлекеттіқ  мекемесі</w:t>
      </w:r>
      <w:r w:rsidR="00FB2DC1" w:rsidRPr="00AA55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09100A7" w14:textId="77777777" w:rsidR="00A50EBB" w:rsidRPr="006D34DF" w:rsidRDefault="00A50EBB" w:rsidP="00AA553F">
      <w:pPr>
        <w:pStyle w:val="a7"/>
        <w:rPr>
          <w:lang w:val="kk-KZ"/>
        </w:rPr>
      </w:pPr>
    </w:p>
    <w:p w14:paraId="55D2BE57" w14:textId="77777777" w:rsidR="00A50EBB" w:rsidRPr="00650796" w:rsidRDefault="00403238" w:rsidP="00AA553F">
      <w:pPr>
        <w:pStyle w:val="a7"/>
        <w:rPr>
          <w:sz w:val="28"/>
          <w:szCs w:val="28"/>
          <w:lang w:val="kk-KZ"/>
        </w:rPr>
      </w:pPr>
      <w:hyperlink r:id="rId4" w:history="1">
        <w:r w:rsidR="00A50EBB" w:rsidRPr="00650796">
          <w:rPr>
            <w:rStyle w:val="a3"/>
            <w:sz w:val="28"/>
            <w:szCs w:val="28"/>
            <w:lang w:val="kk-KZ"/>
          </w:rPr>
          <w:t>http://sc0023.shortandy.aqmoedu.kz</w:t>
        </w:r>
      </w:hyperlink>
    </w:p>
    <w:p w14:paraId="10DCE7E0" w14:textId="77777777" w:rsidR="00A50EBB" w:rsidRPr="008F446B" w:rsidRDefault="00A50EBB" w:rsidP="00AA553F">
      <w:pPr>
        <w:pStyle w:val="a7"/>
        <w:rPr>
          <w:lang w:val="kk-KZ"/>
        </w:rPr>
      </w:pPr>
    </w:p>
    <w:p w14:paraId="05B83A45" w14:textId="334C22E4" w:rsidR="00FB2DC1" w:rsidRDefault="00AC38BC" w:rsidP="008F44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</w:t>
      </w:r>
      <w:r w:rsidR="000A2F70">
        <w:rPr>
          <w:rFonts w:ascii="Times New Roman" w:hAnsi="Times New Roman" w:cs="Times New Roman"/>
          <w:sz w:val="28"/>
          <w:lang w:val="kk-KZ"/>
        </w:rPr>
        <w:t>02</w:t>
      </w:r>
      <w:r w:rsidR="00403238">
        <w:rPr>
          <w:rFonts w:ascii="Times New Roman" w:hAnsi="Times New Roman" w:cs="Times New Roman"/>
          <w:sz w:val="28"/>
          <w:lang w:val="kk-KZ"/>
        </w:rPr>
        <w:t>6</w:t>
      </w:r>
      <w:r w:rsidR="00A50EBB">
        <w:rPr>
          <w:rFonts w:ascii="Times New Roman" w:hAnsi="Times New Roman" w:cs="Times New Roman"/>
          <w:sz w:val="28"/>
          <w:lang w:val="kk-KZ"/>
        </w:rPr>
        <w:t xml:space="preserve"> </w:t>
      </w:r>
      <w:r w:rsidR="00F7254C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403238">
        <w:rPr>
          <w:rFonts w:ascii="Times New Roman" w:hAnsi="Times New Roman" w:cs="Times New Roman"/>
          <w:sz w:val="28"/>
          <w:lang w:val="kk-KZ"/>
        </w:rPr>
        <w:t xml:space="preserve">3 </w:t>
      </w:r>
      <w:r w:rsidR="00F7254C">
        <w:rPr>
          <w:rFonts w:ascii="Times New Roman" w:hAnsi="Times New Roman" w:cs="Times New Roman"/>
          <w:sz w:val="28"/>
          <w:lang w:val="kk-KZ"/>
        </w:rPr>
        <w:t>сәуірде</w:t>
      </w:r>
      <w:r w:rsidR="00FB2DC1" w:rsidRPr="00FB2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"Ақмола облысы білім басқармасының Шортанды ауданы бойынша білім бөлімі Белое Озеро ауылының негізгі орта мектебі" коммуналдык </w:t>
      </w:r>
      <w:r w:rsidR="00FB2DC1">
        <w:rPr>
          <w:rFonts w:ascii="Times New Roman" w:hAnsi="Times New Roman" w:cs="Times New Roman"/>
          <w:b/>
          <w:sz w:val="28"/>
          <w:szCs w:val="28"/>
          <w:lang w:val="kk-KZ"/>
        </w:rPr>
        <w:t>мемлекеттіқ  мекемесі</w:t>
      </w:r>
    </w:p>
    <w:p w14:paraId="07A01DE5" w14:textId="77777777" w:rsidR="00AC38BC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14:paraId="24A78FD8" w14:textId="77777777" w:rsidR="00A50EBB" w:rsidRDefault="00A50EB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B46070B" w14:textId="77777777" w:rsidR="00A50EBB" w:rsidRDefault="00403238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5" w:history="1">
        <w:r w:rsidR="00A50EBB" w:rsidRPr="002F6A59">
          <w:rPr>
            <w:rStyle w:val="a3"/>
            <w:rFonts w:ascii="Times New Roman" w:hAnsi="Times New Roman" w:cs="Times New Roman"/>
            <w:sz w:val="28"/>
            <w:lang w:val="kk-KZ"/>
          </w:rPr>
          <w:t>http://sc0023.shortandy.aqmoedu.kz</w:t>
        </w:r>
      </w:hyperlink>
    </w:p>
    <w:p w14:paraId="588905F7" w14:textId="77777777" w:rsidR="00A50EBB" w:rsidRDefault="00A50EB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BB6ADD3" w14:textId="77777777" w:rsidR="00AA553F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тізімі:</w:t>
      </w:r>
      <w:r w:rsidR="00AA553F" w:rsidRPr="00AA55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A372A01" w14:textId="77777777" w:rsidR="00FB2DC1" w:rsidRDefault="00FB2DC1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2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"Ақмола облысы білім басқармасының Шортанды ауданы бойынша білім бөлімі Белое Озеро ауылының негізгі орта мектебі" коммуналдык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мемлекеттіқ  мекемесі</w:t>
      </w:r>
    </w:p>
    <w:p w14:paraId="4153449A" w14:textId="77777777" w:rsidR="00F60B67" w:rsidRDefault="00AA553F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A55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60B67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27B926D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1EF400A9" w14:textId="77777777" w:rsidTr="00E310D2">
        <w:tc>
          <w:tcPr>
            <w:tcW w:w="421" w:type="dxa"/>
          </w:tcPr>
          <w:p w14:paraId="49AD2834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2EC2D1B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098B32F6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3C2ECC27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6A5AC444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37284536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1EC40598" w14:textId="77777777" w:rsidTr="00E310D2">
        <w:tc>
          <w:tcPr>
            <w:tcW w:w="421" w:type="dxa"/>
          </w:tcPr>
          <w:p w14:paraId="11CA1748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10EBEE5D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46242B0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93325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4DFFE19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6C7D521D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75093371" w14:textId="77777777" w:rsidTr="00E310D2">
        <w:tc>
          <w:tcPr>
            <w:tcW w:w="421" w:type="dxa"/>
          </w:tcPr>
          <w:p w14:paraId="611750C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5683348A" w14:textId="77777777" w:rsidR="00E310D2" w:rsidRDefault="000A2F70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2838633" w14:textId="77777777" w:rsidR="00E310D2" w:rsidRDefault="000A2F70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0AC013DE" w14:textId="77777777" w:rsidR="00E310D2" w:rsidRDefault="000A2F70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05C6EE1E" w14:textId="77777777" w:rsidR="00E310D2" w:rsidRDefault="000A2F70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3BA99D6D" w14:textId="77777777" w:rsidR="00E310D2" w:rsidRDefault="000A2F70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7D076EF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13999FB" w14:textId="77777777" w:rsidR="00844F2C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14:paraId="39D50355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EDA2D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268D7045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B18D033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21F7F2C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02A2D6A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2D1D02EA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05A8D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6D2A43A6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9721C76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9BA96BB" w14:textId="77777777"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 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0A2F70"/>
    <w:rsid w:val="00234598"/>
    <w:rsid w:val="002672AB"/>
    <w:rsid w:val="002E77BE"/>
    <w:rsid w:val="002F3734"/>
    <w:rsid w:val="003137EC"/>
    <w:rsid w:val="00327BB3"/>
    <w:rsid w:val="00403238"/>
    <w:rsid w:val="00447FE8"/>
    <w:rsid w:val="00633D35"/>
    <w:rsid w:val="00650796"/>
    <w:rsid w:val="006D34DF"/>
    <w:rsid w:val="00732430"/>
    <w:rsid w:val="00774578"/>
    <w:rsid w:val="007F207E"/>
    <w:rsid w:val="008070C7"/>
    <w:rsid w:val="00844F2C"/>
    <w:rsid w:val="008A0A13"/>
    <w:rsid w:val="008E06B3"/>
    <w:rsid w:val="008F446B"/>
    <w:rsid w:val="00A50EBB"/>
    <w:rsid w:val="00AA553F"/>
    <w:rsid w:val="00AC38BC"/>
    <w:rsid w:val="00AF7B36"/>
    <w:rsid w:val="00B77537"/>
    <w:rsid w:val="00DF11F4"/>
    <w:rsid w:val="00E310D2"/>
    <w:rsid w:val="00F44318"/>
    <w:rsid w:val="00F60B67"/>
    <w:rsid w:val="00F71945"/>
    <w:rsid w:val="00F7254C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9BDF"/>
  <w15:docId w15:val="{FD426C3A-8737-48BD-A310-65A2D193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A5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23.shortandy.aqmoedu.kz/content/publichnoe-obsughdenie-otcheta-deyatelynosti-shkoly-po-okazaniyu-gosud" TargetMode="External"/><Relationship Id="rId4" Type="http://schemas.openxmlformats.org/officeDocument/2006/relationships/hyperlink" Target="http://sc0023.shortandy.aqmoedu.kz/content/publichnoe-obsughdenie-otcheta-deyatelynosti-shkoly-po-okazaniyu-gosu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2024-06-07T06:29:00Z</cp:lastPrinted>
  <dcterms:created xsi:type="dcterms:W3CDTF">2019-04-08T08:42:00Z</dcterms:created>
  <dcterms:modified xsi:type="dcterms:W3CDTF">2026-03-26T08:47:00Z</dcterms:modified>
</cp:coreProperties>
</file>